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F172A"/>
          <w:sz w:val="30"/>
        </w:rPr>
        <w:t>VNITŘNÍ SMĚRNICE Č. [2026/01]: PRAVIDLA PRO POUŽÍVÁNÍ SYSTÉMŮ UMĚLÉ INTELIGENCE (AI POLICY)</w:t>
      </w:r>
    </w:p>
    <w:p>
      <w:r>
        <w:rPr>
          <w:i/>
          <w:color w:val="2563EB"/>
          <w:sz w:val="19"/>
        </w:rPr>
        <w:t>Vzor 2026 podle Nařízení (EU) 2024/1689 (EU AI Act), Nařízení (EU) 2016/679 (GDPR), zákona č. 264/2025 Sb. (zákon o kybernetické bezpečnosti / NIS2) a § 504 občanského zákoníku</w:t>
      </w:r>
    </w:p>
    <w:p>
      <w:r>
        <w:rPr>
          <w:b/>
          <w:color w:val="0F172A"/>
          <w:sz w:val="23"/>
        </w:rPr>
        <w:t>Čl. I — Účel, působnost a identifikace společnosti</w:t>
      </w:r>
    </w:p>
    <w:p>
      <w:r>
        <w:t>1. Tato směrnice upravuje závazná pravidla pro schvalování, nasazování a každodenní využívání nástrojů generativní umělé inteligence (LLM) a autonomních AI agentů ve společnosti [Název společnosti s.r.o./a.s.], IČO: [doplnit], se sídlem: [Adresa] (dále jen „Společnost“).</w:t>
      </w:r>
    </w:p>
    <w:p>
      <w:r>
        <w:t>2. Směrnice je závazná pro všechny zaměstnance v pracovním poměru, pracovníky na DPP/DPČ, členy statutárních orgánů i externí dodavatele (OSVČ), kteří mají přístup k informačním systémům nebo datům Společnosti.</w:t>
      </w:r>
    </w:p>
    <w:p>
      <w:r>
        <w:rPr>
          <w:b/>
          <w:color w:val="0F172A"/>
          <w:sz w:val="23"/>
        </w:rPr>
        <w:t>Čl. II — Klasifikace povolených a nepovolených AI nástrojů (Stínová AI)</w:t>
      </w:r>
    </w:p>
    <w:p>
      <w:pPr>
        <w:pStyle w:val="ListBullet"/>
      </w:pPr>
      <w:r>
        <w:t>Schválené firemní AI nástroje (Zelená zóna): Firemní instance AI agentů Apertia.ai, podnikové API licence (OpenAI Enterprise / Azure OpenAI / Anthropic API / Google Vertex AI / lokální on-premise LLM) se smluvně vypnutým trénováním na zákaznických datech a uzavřenou zpracovatelskou smlouvou (DPA dle čl. 28 GDPR).</w:t>
      </w:r>
    </w:p>
    <w:p>
      <w:pPr>
        <w:pStyle w:val="ListBullet"/>
      </w:pPr>
      <w:r>
        <w:t>Podmíněně povolené veřejné nástroje (Žlutá zóna): Veřejné verze ChatGPT, Claude, Gemini nebo Perplexity smí být využívány výhradně pro práci s veřejně dostupnými nebo plně anonymizovanými daty.</w:t>
      </w:r>
    </w:p>
    <w:p>
      <w:pPr>
        <w:pStyle w:val="ListBullet"/>
      </w:pPr>
      <w:r>
        <w:t>Zakázané nástroje (Červená zóna): Jakékoliv neschválené AI doplňky prohlížeče, neautorizované AI přepisovače porad nahrávající interní schůzky na servery mimo EU/EHP a systémy spadající pod zakázané praktiky dle čl. 5 Nařízení (EU) 2024/1689.</w:t>
      </w:r>
    </w:p>
    <w:p>
      <w:r>
        <w:rPr>
          <w:b/>
          <w:color w:val="0F172A"/>
          <w:sz w:val="23"/>
        </w:rPr>
        <w:t>Čl. III — Ochrana obchodního tajemství (§ 504 OZ), osobních údajů (GDPR) a zdrojového kódu</w:t>
      </w:r>
    </w:p>
    <w:p>
      <w:r>
        <w:t>1. Do veřejných (spotřebitelských) AI nástrojů bez firemní DPA je přísně zakázáno vkládat: osobní údaje zaměstnanců a zákazníků (jména, rodná čísla, e-maily, mzdy), nepublikované finanční výkazy, cenové kalkulace, obchodní smlouvy, přístupové klíče (API keys, hesla) a proprietární zdrojový kód.</w:t>
      </w:r>
    </w:p>
    <w:p>
      <w:r>
        <w:t>2. Zpracování interních firemních dokumentů, faktur, e-mailů a ERP/CRM dat probíhá výhradně prostřednictvím schválených firemních AI agentů v izolovaném prostředí Společnosti.</w:t>
      </w:r>
    </w:p>
    <w:p>
      <w:r>
        <w:rPr>
          <w:b/>
          <w:color w:val="0F172A"/>
          <w:sz w:val="23"/>
        </w:rPr>
        <w:t>Čl. IV — Povinnost lidského dohledu (Human-in-the-Loop) a ověřování výstupů</w:t>
      </w:r>
    </w:p>
    <w:p>
      <w:r>
        <w:t>1. Výstup generovaný umělou inteligencí má povahu návrhu. Zaměstnanec, který výstup AI použije v obchodní korespondenci, právním dokumentu, účetnictví, kódu nebo vůči zákazníkovi, nese plnou odpovědnost za jeho věcnou, právní a početní správnost.</w:t>
      </w:r>
    </w:p>
    <w:p>
      <w:r>
        <w:t>2. U procesů s finančním nebo právním dopadem (odeslání objednávky nad [50 000] Kč, schválení přijaté faktury, rozvázání pracovního poměru, zamítnutí kandidáta v HR) musí být vždy zachován lidský dohled (čl. 14 a čl. 26 EU AI Act).</w:t>
      </w:r>
    </w:p>
    <w:p>
      <w:r>
        <w:rPr>
          <w:b/>
          <w:color w:val="0F172A"/>
          <w:sz w:val="23"/>
        </w:rPr>
        <w:t>Čl. V — Transparence vůči třetím stranám (čl. 50 EU AI Act) a AI gramotnost (čl. 4 EU AI Act)</w:t>
      </w:r>
    </w:p>
    <w:p>
      <w:r>
        <w:t>1. V souladu s čl. 50 Nařízení (EU) 2024/1689 musí být každá fyzická osoba, která komunikuje s firemním AI chatbotem, hlasovým asistentem (voicebotem) nebo automatizovaným e-mailovým agentem, jasně informována, že komunikuje se systémem umělé inteligence.</w:t>
      </w:r>
    </w:p>
    <w:p>
      <w:r>
        <w:t>2. V souladu s čl. 4 Nařízení (EU) 2024/1689 (účinným od 2. února 2025) zajišťuje Společnost pravidelné vstupní a roční školení AI gramotnosti pro všechny zaměstnance využívající systémy AI.</w:t>
      </w:r>
    </w:p>
    <w:p>
      <w:r>
        <w:rPr>
          <w:b/>
          <w:color w:val="0F172A"/>
          <w:sz w:val="23"/>
        </w:rPr>
        <w:t>Čl. VI — Hlášení bezpečnostních incidentů a účinnost</w:t>
      </w:r>
    </w:p>
    <w:p>
      <w:r>
        <w:t>1. Každé podezření na únik osobních údajů nebo obchodního tajemství do neschváleného AI nástroje je zaměstnanec povinen neprodleně ohlásit odpovědné osobě (AI Officer / manažer kybernetické bezpečnosti): [Jméno, e-mail, telefon].</w:t>
      </w:r>
    </w:p>
    <w:p>
      <w:r>
        <w:t>2. Tato směrnice nabývá účinnosti dne [DD.MM.2026].</w:t>
      </w:r>
    </w:p>
    <w:p>
      <w:r>
        <w:t>V [Město] dne [DD.MM.2026]                              _______________________________</w:t>
      </w:r>
    </w:p>
    <w:p>
      <w:r>
        <w:t xml:space="preserve">                                                        [Jméno a příjmení], jednatel / CEO</w:t>
      </w:r>
    </w:p>
    <w:p>
      <w:r>
        <w:rPr>
          <w:color w:val="64748B"/>
          <w:sz w:val="17"/>
        </w:rPr>
        <w:t>Vzor připraven týmem Apertia.ai (https://apertia.ai) — bezpeční podnikoví AI agenti, privátní LLM a automatizace firemních procesů.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